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2008DD63"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C026C">
        <w:rPr>
          <w:rFonts w:eastAsia="Times New Roman" w:cs="Times New Roman" w:hint="cs"/>
          <w:b/>
          <w:bCs/>
          <w:rtl/>
        </w:rPr>
        <w:t>1</w:t>
      </w:r>
      <w:r w:rsidR="003C3FFC">
        <w:rPr>
          <w:rFonts w:eastAsia="Times New Roman" w:cs="Times New Roman" w:hint="cs"/>
          <w:b/>
          <w:bCs/>
          <w:rtl/>
        </w:rPr>
        <w:t>4</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6B26CB72" w14:textId="550F775D"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KAS-Jan-2025–PR00</w:t>
      </w:r>
      <w:r w:rsidR="003C3FFC">
        <w:rPr>
          <w:rFonts w:eastAsia="Times New Roman" w:cs="Times New Roman"/>
          <w:b/>
          <w:bCs/>
          <w:u w:val="single"/>
        </w:rPr>
        <w:t>5</w:t>
      </w:r>
      <w:r w:rsidRPr="008A4B3C">
        <w:rPr>
          <w:rFonts w:eastAsia="Times New Roman" w:cs="Times New Roman"/>
          <w:b/>
          <w:bCs/>
          <w:u w:val="single"/>
        </w:rPr>
        <w:t xml:space="preserve">- </w:t>
      </w:r>
    </w:p>
    <w:p w14:paraId="4A57CDA6" w14:textId="76F1D796"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محطة مياه </w:t>
      </w:r>
      <w:r w:rsidR="003C3FFC">
        <w:rPr>
          <w:rFonts w:eastAsia="Times New Roman" w:cs="Arial" w:hint="cs"/>
          <w:b/>
          <w:bCs/>
          <w:u w:val="single"/>
          <w:rtl/>
        </w:rPr>
        <w:t>منطقة راشد</w:t>
      </w:r>
      <w:r w:rsidRPr="001C026C">
        <w:rPr>
          <w:rFonts w:eastAsia="Times New Roman" w:cs="Arial"/>
          <w:b/>
          <w:bCs/>
          <w:u w:val="single"/>
          <w:rtl/>
        </w:rPr>
        <w:t xml:space="preserve"> – محلية </w:t>
      </w:r>
      <w:r w:rsidR="003C3FFC">
        <w:rPr>
          <w:rFonts w:eastAsia="Times New Roman" w:cs="Arial" w:hint="cs"/>
          <w:b/>
          <w:bCs/>
          <w:u w:val="single"/>
          <w:rtl/>
        </w:rPr>
        <w:t>القلابات الشرقية</w:t>
      </w:r>
      <w:r w:rsidRPr="001C026C">
        <w:rPr>
          <w:rFonts w:eastAsia="Times New Roman" w:cs="Arial"/>
          <w:b/>
          <w:bCs/>
          <w:u w:val="single"/>
          <w:rtl/>
        </w:rPr>
        <w:t xml:space="preserve"> – ولاية </w:t>
      </w:r>
      <w:r w:rsidR="003C3FFC">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1EA9CCA1"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تأهيل محطة مياه</w:t>
      </w:r>
      <w:r w:rsidR="003C3FFC">
        <w:rPr>
          <w:rFonts w:eastAsia="Times New Roman" w:cs="Arial" w:hint="cs"/>
          <w:b/>
          <w:bCs/>
          <w:rtl/>
        </w:rPr>
        <w:t xml:space="preserve"> </w:t>
      </w:r>
      <w:r w:rsidR="003C3FFC" w:rsidRPr="003C3FFC">
        <w:rPr>
          <w:rFonts w:eastAsia="Times New Roman" w:cs="Arial"/>
          <w:b/>
          <w:bCs/>
          <w:rtl/>
        </w:rPr>
        <w:t>منطقة راشد – محلية القلابات الشرقية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4C0F02D2"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3C3FFC">
        <w:rPr>
          <w:rFonts w:eastAsia="Times New Roman" w:cs="Arial" w:hint="cs"/>
          <w:b/>
          <w:bCs/>
          <w:u w:val="single"/>
          <w:rtl/>
        </w:rPr>
        <w:t>20</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C9D0D9C"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3C3FFC" w:rsidRPr="003C3FFC">
        <w:rPr>
          <w:rFonts w:eastAsiaTheme="minorHAnsi" w:hint="cs"/>
          <w:b/>
          <w:bCs/>
          <w:rtl/>
        </w:rPr>
        <w:t>20</w:t>
      </w:r>
      <w:r w:rsidRPr="003C3FFC">
        <w:rPr>
          <w:rFonts w:eastAsiaTheme="minorHAnsi" w:hint="cs"/>
          <w:b/>
          <w:bCs/>
          <w:rtl/>
        </w:rPr>
        <w:t xml:space="preserve"> يناير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29A9F0AF"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منطقة راشد</w:t>
      </w:r>
      <w:r w:rsidRPr="00697832">
        <w:rPr>
          <w:rFonts w:eastAsiaTheme="minorHAnsi" w:hint="cs"/>
          <w:b/>
          <w:bCs/>
          <w:rtl/>
        </w:rPr>
        <w:t xml:space="preserve"> </w:t>
      </w:r>
      <w:r w:rsidR="003C3FFC">
        <w:rPr>
          <w:rFonts w:eastAsiaTheme="minorHAnsi" w:hint="cs"/>
          <w:b/>
          <w:bCs/>
          <w:rtl/>
        </w:rPr>
        <w:t>القلابات الشرقية 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0626" w:type="dxa"/>
        <w:tblLook w:val="04A0" w:firstRow="1" w:lastRow="0" w:firstColumn="1" w:lastColumn="0" w:noHBand="0" w:noVBand="1"/>
      </w:tblPr>
      <w:tblGrid>
        <w:gridCol w:w="960"/>
        <w:gridCol w:w="4900"/>
        <w:gridCol w:w="1171"/>
        <w:gridCol w:w="960"/>
        <w:gridCol w:w="1168"/>
        <w:gridCol w:w="1467"/>
      </w:tblGrid>
      <w:tr w:rsidR="00544A6F" w:rsidRPr="00544A6F" w14:paraId="68578334" w14:textId="77777777" w:rsidTr="00544A6F">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51DE0329"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auto" w:fill="FABF8F"/>
            <w:noWrap/>
            <w:vAlign w:val="center"/>
            <w:hideMark/>
          </w:tcPr>
          <w:p w14:paraId="4D2C2DA3"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Description</w:t>
            </w:r>
          </w:p>
        </w:tc>
        <w:tc>
          <w:tcPr>
            <w:tcW w:w="1171" w:type="dxa"/>
            <w:tcBorders>
              <w:top w:val="single" w:sz="4" w:space="0" w:color="auto"/>
              <w:left w:val="nil"/>
              <w:bottom w:val="single" w:sz="4" w:space="0" w:color="auto"/>
              <w:right w:val="single" w:sz="4" w:space="0" w:color="auto"/>
            </w:tcBorders>
            <w:shd w:val="clear" w:color="auto" w:fill="FABF8F"/>
            <w:noWrap/>
            <w:vAlign w:val="center"/>
            <w:hideMark/>
          </w:tcPr>
          <w:p w14:paraId="32DF95B7"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Units</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467F5C9B"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QTY</w:t>
            </w:r>
          </w:p>
        </w:tc>
        <w:tc>
          <w:tcPr>
            <w:tcW w:w="1168" w:type="dxa"/>
            <w:tcBorders>
              <w:top w:val="single" w:sz="4" w:space="0" w:color="auto"/>
              <w:left w:val="nil"/>
              <w:bottom w:val="single" w:sz="4" w:space="0" w:color="auto"/>
              <w:right w:val="single" w:sz="4" w:space="0" w:color="auto"/>
            </w:tcBorders>
            <w:shd w:val="clear" w:color="auto" w:fill="FABF8F"/>
            <w:vAlign w:val="center"/>
            <w:hideMark/>
          </w:tcPr>
          <w:p w14:paraId="1F1078F5"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 Price (SDG)</w:t>
            </w:r>
          </w:p>
        </w:tc>
        <w:tc>
          <w:tcPr>
            <w:tcW w:w="1467" w:type="dxa"/>
            <w:tcBorders>
              <w:top w:val="single" w:sz="4" w:space="0" w:color="auto"/>
              <w:left w:val="nil"/>
              <w:bottom w:val="single" w:sz="4" w:space="0" w:color="auto"/>
              <w:right w:val="single" w:sz="4" w:space="0" w:color="auto"/>
            </w:tcBorders>
            <w:shd w:val="clear" w:color="auto" w:fill="FABF8F"/>
            <w:vAlign w:val="center"/>
            <w:hideMark/>
          </w:tcPr>
          <w:p w14:paraId="55FD0FE4" w14:textId="77777777" w:rsidR="00544A6F" w:rsidRPr="00544A6F" w:rsidRDefault="00544A6F" w:rsidP="00544A6F">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Amount (SDG)</w:t>
            </w:r>
          </w:p>
        </w:tc>
      </w:tr>
      <w:tr w:rsidR="00544A6F" w:rsidRPr="00544A6F" w14:paraId="4034F086"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005158E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1</w:t>
            </w:r>
          </w:p>
        </w:tc>
        <w:tc>
          <w:tcPr>
            <w:tcW w:w="4900" w:type="dxa"/>
            <w:tcBorders>
              <w:top w:val="single" w:sz="4" w:space="0" w:color="auto"/>
              <w:left w:val="nil"/>
              <w:bottom w:val="single" w:sz="4" w:space="0" w:color="auto"/>
              <w:right w:val="single" w:sz="4" w:space="0" w:color="auto"/>
            </w:tcBorders>
            <w:vAlign w:val="center"/>
            <w:hideMark/>
          </w:tcPr>
          <w:p w14:paraId="4BCB744C"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a spiral wire along the station fence (40 * 12) meters with a total of (104) linear meters to be loaded at an angle of (1.5) mm thickness (3) mm imported every (2) meters in the form of the letter (V) is welded in the existing fence according to the directives of the supervising engineer. </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739692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846B8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031D791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1CBAAAB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86AEA40"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49FC29A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vAlign w:val="center"/>
            <w:hideMark/>
          </w:tcPr>
          <w:p w14:paraId="69D7F2B7"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Supplying materials and installing a distribution point (kiosk) of the corner (3) inch 3 mm with dimensions (1.2 * 1.2 * 2) meters bound </w:t>
            </w:r>
            <w:proofErr w:type="spellStart"/>
            <w:r w:rsidRPr="00544A6F">
              <w:rPr>
                <w:rFonts w:ascii="Georgia" w:eastAsia="Calibri" w:hAnsi="Georgia" w:cs="Arial"/>
                <w:kern w:val="2"/>
                <w:sz w:val="20"/>
                <w:szCs w:val="20"/>
                <w14:ligatures w14:val="standardContextual"/>
              </w:rPr>
              <w:t>Baleksbanda</w:t>
            </w:r>
            <w:proofErr w:type="spellEnd"/>
            <w:r w:rsidRPr="00544A6F">
              <w:rPr>
                <w:rFonts w:ascii="Georgia" w:eastAsia="Calibri" w:hAnsi="Georgia" w:cs="Arial"/>
                <w:kern w:val="2"/>
                <w:sz w:val="20"/>
                <w:szCs w:val="20"/>
                <w14:ligatures w14:val="standardContextual"/>
              </w:rPr>
              <w:t xml:space="preserve"> and the roof of zinc with a gate (length 2 meters and width of 1.2 of the </w:t>
            </w:r>
            <w:proofErr w:type="spellStart"/>
            <w:r w:rsidRPr="00544A6F">
              <w:rPr>
                <w:rFonts w:ascii="Georgia" w:eastAsia="Calibri" w:hAnsi="Georgia" w:cs="Arial"/>
                <w:kern w:val="2"/>
                <w:sz w:val="20"/>
                <w:szCs w:val="20"/>
                <w14:ligatures w14:val="standardContextual"/>
              </w:rPr>
              <w:t>expanda</w:t>
            </w:r>
            <w:proofErr w:type="spellEnd"/>
            <w:r w:rsidRPr="00544A6F">
              <w:rPr>
                <w:rFonts w:ascii="Georgia" w:eastAsia="Calibri" w:hAnsi="Georgia" w:cs="Arial"/>
                <w:kern w:val="2"/>
                <w:sz w:val="20"/>
                <w:szCs w:val="20"/>
                <w14:ligatures w14:val="standardContextual"/>
              </w:rPr>
              <w:t xml:space="preserve">) and the work of all water connections inside the kiosk from the pipes of </w:t>
            </w:r>
            <w:proofErr w:type="spellStart"/>
            <w:r w:rsidRPr="00544A6F">
              <w:rPr>
                <w:rFonts w:ascii="Georgia" w:eastAsia="Calibri" w:hAnsi="Georgia" w:cs="Arial"/>
                <w:kern w:val="2"/>
                <w:sz w:val="20"/>
                <w:szCs w:val="20"/>
                <w14:ligatures w14:val="standardContextual"/>
              </w:rPr>
              <w:t>Galvinize</w:t>
            </w:r>
            <w:proofErr w:type="spellEnd"/>
            <w:r w:rsidRPr="00544A6F">
              <w:rPr>
                <w:rFonts w:ascii="Georgia" w:eastAsia="Calibri" w:hAnsi="Georgia" w:cs="Arial"/>
                <w:kern w:val="2"/>
                <w:sz w:val="20"/>
                <w:szCs w:val="20"/>
                <w14:ligatures w14:val="standardContextual"/>
              </w:rPr>
              <w:t xml:space="preserve"> 2 inches height 1 meter and (0.5) meters inside the ground and the installation of a winding 2 inch + counter 2 inches) with the work of backfills of the selected soil</w:t>
            </w:r>
          </w:p>
        </w:tc>
        <w:tc>
          <w:tcPr>
            <w:tcW w:w="1171" w:type="dxa"/>
            <w:tcBorders>
              <w:top w:val="nil"/>
              <w:left w:val="single" w:sz="4" w:space="0" w:color="auto"/>
              <w:bottom w:val="single" w:sz="4" w:space="0" w:color="auto"/>
              <w:right w:val="single" w:sz="4" w:space="0" w:color="auto"/>
            </w:tcBorders>
            <w:noWrap/>
            <w:vAlign w:val="center"/>
            <w:hideMark/>
          </w:tcPr>
          <w:p w14:paraId="1C87560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EFB6A6A"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w:t>
            </w:r>
          </w:p>
        </w:tc>
        <w:tc>
          <w:tcPr>
            <w:tcW w:w="1168" w:type="dxa"/>
            <w:tcBorders>
              <w:top w:val="nil"/>
              <w:left w:val="nil"/>
              <w:bottom w:val="single" w:sz="4" w:space="0" w:color="auto"/>
              <w:right w:val="single" w:sz="4" w:space="0" w:color="auto"/>
            </w:tcBorders>
            <w:noWrap/>
            <w:vAlign w:val="center"/>
            <w:hideMark/>
          </w:tcPr>
          <w:p w14:paraId="5E2E164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2918D33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70F24BC9"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78A95ED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vAlign w:val="center"/>
            <w:hideMark/>
          </w:tcPr>
          <w:p w14:paraId="14A8EDF3" w14:textId="3FF5E14F"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pipes </w:t>
            </w:r>
            <w:r w:rsidRPr="00544A6F">
              <w:rPr>
                <w:rFonts w:ascii="Georgia" w:eastAsia="Calibri" w:hAnsi="Georgia" w:cs="Arial"/>
                <w:kern w:val="2"/>
                <w:sz w:val="20"/>
                <w:szCs w:val="20"/>
                <w14:ligatures w14:val="standardContextual"/>
              </w:rPr>
              <w:t>4-inch</w:t>
            </w:r>
            <w:r w:rsidRPr="00544A6F">
              <w:rPr>
                <w:rFonts w:ascii="Georgia" w:eastAsia="Calibri" w:hAnsi="Georgia" w:cs="Arial"/>
                <w:kern w:val="2"/>
                <w:sz w:val="20"/>
                <w:szCs w:val="20"/>
                <w14:ligatures w14:val="standardContextual"/>
              </w:rPr>
              <w:t xml:space="preserve"> </w:t>
            </w:r>
            <w:proofErr w:type="spellStart"/>
            <w:r w:rsidRPr="00544A6F">
              <w:rPr>
                <w:rFonts w:ascii="Georgia" w:eastAsia="Calibri" w:hAnsi="Georgia" w:cs="Arial"/>
                <w:kern w:val="2"/>
                <w:sz w:val="20"/>
                <w:szCs w:val="20"/>
                <w14:ligatures w14:val="standardContextual"/>
              </w:rPr>
              <w:t>Galvaniz</w:t>
            </w:r>
            <w:proofErr w:type="spellEnd"/>
            <w:r w:rsidRPr="00544A6F">
              <w:rPr>
                <w:rFonts w:ascii="Georgia" w:eastAsia="Calibri" w:hAnsi="Georgia" w:cs="Arial"/>
                <w:kern w:val="2"/>
                <w:sz w:val="20"/>
                <w:szCs w:val="20"/>
                <w14:ligatures w14:val="standardContextual"/>
              </w:rPr>
              <w:t xml:space="preserve"> 5 mm descending from the tank length of 6 meters with the work of 3 lines 2 inches branched from the descender with the connection of a 2 inch for each line according to the directives of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2FBD367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8DEDC4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68B65FD8"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787D48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30040CA"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1A52560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vAlign w:val="center"/>
            <w:hideMark/>
          </w:tcPr>
          <w:p w14:paraId="63BC30A0" w14:textId="713341F8"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w:t>
            </w:r>
            <w:r w:rsidRPr="00544A6F">
              <w:rPr>
                <w:rFonts w:ascii="Georgia" w:eastAsia="Calibri" w:hAnsi="Georgia" w:cs="Arial"/>
                <w:kern w:val="2"/>
                <w:sz w:val="20"/>
                <w:szCs w:val="20"/>
                <w14:ligatures w14:val="standardContextual"/>
              </w:rPr>
              <w:t>installation of</w:t>
            </w:r>
            <w:r w:rsidRPr="00544A6F">
              <w:rPr>
                <w:rFonts w:ascii="Georgia" w:eastAsia="Calibri" w:hAnsi="Georgia" w:cs="Arial"/>
                <w:kern w:val="2"/>
                <w:sz w:val="20"/>
                <w:szCs w:val="20"/>
                <w14:ligatures w14:val="standardContextual"/>
              </w:rPr>
              <w:t xml:space="preserve"> HDPE  line 2 inch 8 bar (drilling + burial + welding) as directed by the supervising engineer </w:t>
            </w:r>
          </w:p>
        </w:tc>
        <w:tc>
          <w:tcPr>
            <w:tcW w:w="1171" w:type="dxa"/>
            <w:tcBorders>
              <w:top w:val="nil"/>
              <w:left w:val="single" w:sz="4" w:space="0" w:color="auto"/>
              <w:bottom w:val="single" w:sz="4" w:space="0" w:color="auto"/>
              <w:right w:val="single" w:sz="4" w:space="0" w:color="auto"/>
            </w:tcBorders>
            <w:noWrap/>
            <w:vAlign w:val="center"/>
            <w:hideMark/>
          </w:tcPr>
          <w:p w14:paraId="45A24649"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7D6F4864"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250</w:t>
            </w:r>
          </w:p>
        </w:tc>
        <w:tc>
          <w:tcPr>
            <w:tcW w:w="1168" w:type="dxa"/>
            <w:tcBorders>
              <w:top w:val="nil"/>
              <w:left w:val="nil"/>
              <w:bottom w:val="single" w:sz="4" w:space="0" w:color="auto"/>
              <w:right w:val="single" w:sz="4" w:space="0" w:color="auto"/>
            </w:tcBorders>
            <w:noWrap/>
            <w:vAlign w:val="center"/>
            <w:hideMark/>
          </w:tcPr>
          <w:p w14:paraId="3139176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76443DB5"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5776A431"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2BC25EEC"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5</w:t>
            </w:r>
          </w:p>
        </w:tc>
        <w:tc>
          <w:tcPr>
            <w:tcW w:w="4900" w:type="dxa"/>
            <w:vAlign w:val="bottom"/>
            <w:hideMark/>
          </w:tcPr>
          <w:p w14:paraId="5AC05FE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Calibri" w:eastAsia="Calibri" w:hAnsi="Calibri" w:cs="Calibri"/>
                <w:kern w:val="2"/>
                <w14:ligatures w14:val="standardContextual"/>
              </w:rPr>
              <w:t>Supply and installation of faucets (1/2) inch.</w:t>
            </w:r>
          </w:p>
        </w:tc>
        <w:tc>
          <w:tcPr>
            <w:tcW w:w="1171" w:type="dxa"/>
            <w:tcBorders>
              <w:top w:val="nil"/>
              <w:left w:val="single" w:sz="4" w:space="0" w:color="auto"/>
              <w:bottom w:val="single" w:sz="4" w:space="0" w:color="auto"/>
              <w:right w:val="single" w:sz="4" w:space="0" w:color="auto"/>
            </w:tcBorders>
            <w:noWrap/>
            <w:vAlign w:val="center"/>
            <w:hideMark/>
          </w:tcPr>
          <w:p w14:paraId="212BBE11"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26275EE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14</w:t>
            </w:r>
          </w:p>
        </w:tc>
        <w:tc>
          <w:tcPr>
            <w:tcW w:w="1168" w:type="dxa"/>
            <w:tcBorders>
              <w:top w:val="nil"/>
              <w:left w:val="nil"/>
              <w:bottom w:val="single" w:sz="4" w:space="0" w:color="auto"/>
              <w:right w:val="single" w:sz="4" w:space="0" w:color="auto"/>
            </w:tcBorders>
            <w:noWrap/>
            <w:vAlign w:val="center"/>
            <w:hideMark/>
          </w:tcPr>
          <w:p w14:paraId="4F709DC2"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2E60ED2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274043A5"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7D85E06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6</w:t>
            </w:r>
          </w:p>
        </w:tc>
        <w:tc>
          <w:tcPr>
            <w:tcW w:w="4900" w:type="dxa"/>
            <w:tcBorders>
              <w:top w:val="single" w:sz="4" w:space="0" w:color="auto"/>
              <w:left w:val="nil"/>
              <w:bottom w:val="single" w:sz="4" w:space="0" w:color="auto"/>
              <w:right w:val="single" w:sz="4" w:space="0" w:color="auto"/>
            </w:tcBorders>
            <w:vAlign w:val="center"/>
            <w:hideMark/>
          </w:tcPr>
          <w:p w14:paraId="13FE2815" w14:textId="1E328380"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w:t>
            </w:r>
            <w:r w:rsidRPr="00544A6F">
              <w:rPr>
                <w:rFonts w:ascii="Georgia" w:eastAsia="Calibri" w:hAnsi="Georgia" w:cs="Arial"/>
                <w:kern w:val="2"/>
                <w:sz w:val="20"/>
                <w:szCs w:val="20"/>
                <w14:ligatures w14:val="standardContextual"/>
              </w:rPr>
              <w:t>line</w:t>
            </w:r>
            <w:r w:rsidRPr="00544A6F">
              <w:rPr>
                <w:rFonts w:ascii="Georgia" w:eastAsia="Calibri" w:hAnsi="Georgia" w:cs="Arial"/>
                <w:kern w:val="2"/>
                <w:sz w:val="20"/>
                <w:szCs w:val="20"/>
                <w14:ligatures w14:val="standardContextual"/>
              </w:rPr>
              <w:t xml:space="preserve"> Xin (1) inch number 1 with the installation of winding + elbow as directed by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185479A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7BCCF00F"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30</w:t>
            </w:r>
          </w:p>
        </w:tc>
        <w:tc>
          <w:tcPr>
            <w:tcW w:w="1168" w:type="dxa"/>
            <w:tcBorders>
              <w:top w:val="nil"/>
              <w:left w:val="nil"/>
              <w:bottom w:val="single" w:sz="4" w:space="0" w:color="auto"/>
              <w:right w:val="single" w:sz="4" w:space="0" w:color="auto"/>
            </w:tcBorders>
            <w:noWrap/>
            <w:vAlign w:val="center"/>
            <w:hideMark/>
          </w:tcPr>
          <w:p w14:paraId="0022663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42B7FBB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2B6840A5"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676FE09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vAlign w:val="center"/>
            <w:hideMark/>
          </w:tcPr>
          <w:p w14:paraId="4A07DDEB" w14:textId="38F734BD"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Calibri" w:hAnsi="Georgia" w:cs="Arial"/>
                <w:kern w:val="2"/>
                <w:sz w:val="20"/>
                <w:szCs w:val="20"/>
                <w14:ligatures w14:val="standardContextual"/>
              </w:rPr>
              <w:t xml:space="preserve">Supply and installation of a motor (1) hp with the work of the pipe </w:t>
            </w:r>
            <w:r w:rsidRPr="00544A6F">
              <w:rPr>
                <w:rFonts w:ascii="Georgia" w:eastAsia="Calibri" w:hAnsi="Georgia" w:cs="Arial"/>
                <w:kern w:val="2"/>
                <w:sz w:val="20"/>
                <w:szCs w:val="20"/>
                <w14:ligatures w14:val="standardContextual"/>
              </w:rPr>
              <w:t>1-inch</w:t>
            </w:r>
            <w:r w:rsidRPr="00544A6F">
              <w:rPr>
                <w:rFonts w:ascii="Georgia" w:eastAsia="Calibri" w:hAnsi="Georgia" w:cs="Arial"/>
                <w:kern w:val="2"/>
                <w:sz w:val="20"/>
                <w:szCs w:val="20"/>
                <w14:ligatures w14:val="standardContextual"/>
              </w:rPr>
              <w:t xml:space="preserve"> </w:t>
            </w:r>
            <w:proofErr w:type="spellStart"/>
            <w:r w:rsidRPr="00544A6F">
              <w:rPr>
                <w:rFonts w:ascii="Georgia" w:eastAsia="Calibri" w:hAnsi="Georgia" w:cs="Arial"/>
                <w:kern w:val="2"/>
                <w:sz w:val="20"/>
                <w:szCs w:val="20"/>
                <w14:ligatures w14:val="standardContextual"/>
              </w:rPr>
              <w:t>Qalfanis</w:t>
            </w:r>
            <w:proofErr w:type="spellEnd"/>
            <w:r w:rsidRPr="00544A6F">
              <w:rPr>
                <w:rFonts w:ascii="Georgia" w:eastAsia="Calibri" w:hAnsi="Georgia" w:cs="Arial"/>
                <w:kern w:val="2"/>
                <w:sz w:val="20"/>
                <w:szCs w:val="20"/>
                <w14:ligatures w14:val="standardContextual"/>
              </w:rPr>
              <w:t xml:space="preserve"> height 70 cm with the work of the necessary connections (winding elbow Union bushing)</w:t>
            </w:r>
          </w:p>
        </w:tc>
        <w:tc>
          <w:tcPr>
            <w:tcW w:w="1171" w:type="dxa"/>
            <w:tcBorders>
              <w:top w:val="nil"/>
              <w:left w:val="single" w:sz="4" w:space="0" w:color="auto"/>
              <w:bottom w:val="single" w:sz="4" w:space="0" w:color="auto"/>
              <w:right w:val="single" w:sz="4" w:space="0" w:color="auto"/>
            </w:tcBorders>
            <w:noWrap/>
            <w:vAlign w:val="center"/>
            <w:hideMark/>
          </w:tcPr>
          <w:p w14:paraId="2AD94AC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6D1675ED"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3</w:t>
            </w:r>
          </w:p>
        </w:tc>
        <w:tc>
          <w:tcPr>
            <w:tcW w:w="1168" w:type="dxa"/>
            <w:tcBorders>
              <w:top w:val="nil"/>
              <w:left w:val="nil"/>
              <w:bottom w:val="single" w:sz="4" w:space="0" w:color="auto"/>
              <w:right w:val="single" w:sz="4" w:space="0" w:color="auto"/>
            </w:tcBorders>
            <w:noWrap/>
            <w:vAlign w:val="center"/>
            <w:hideMark/>
          </w:tcPr>
          <w:p w14:paraId="11B709CC"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5FFA4F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58917598" w14:textId="77777777" w:rsidTr="00544A6F">
        <w:trPr>
          <w:trHeight w:val="600"/>
        </w:trPr>
        <w:tc>
          <w:tcPr>
            <w:tcW w:w="960" w:type="dxa"/>
            <w:tcBorders>
              <w:top w:val="nil"/>
              <w:left w:val="single" w:sz="4" w:space="0" w:color="auto"/>
              <w:bottom w:val="single" w:sz="4" w:space="0" w:color="auto"/>
              <w:right w:val="single" w:sz="4" w:space="0" w:color="auto"/>
            </w:tcBorders>
            <w:shd w:val="clear" w:color="auto" w:fill="FABF8F"/>
            <w:noWrap/>
            <w:vAlign w:val="center"/>
            <w:hideMark/>
          </w:tcPr>
          <w:p w14:paraId="5984B429" w14:textId="77777777" w:rsidR="00544A6F" w:rsidRPr="00544A6F" w:rsidRDefault="00544A6F" w:rsidP="00544A6F">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FABF8F"/>
            <w:vAlign w:val="bottom"/>
            <w:hideMark/>
          </w:tcPr>
          <w:p w14:paraId="530067E7"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xml:space="preserve">Sub total </w:t>
            </w:r>
          </w:p>
        </w:tc>
        <w:tc>
          <w:tcPr>
            <w:tcW w:w="1171" w:type="dxa"/>
            <w:tcBorders>
              <w:top w:val="nil"/>
              <w:left w:val="nil"/>
              <w:bottom w:val="single" w:sz="4" w:space="0" w:color="auto"/>
              <w:right w:val="single" w:sz="4" w:space="0" w:color="auto"/>
            </w:tcBorders>
            <w:shd w:val="clear" w:color="auto" w:fill="FABF8F"/>
            <w:noWrap/>
            <w:vAlign w:val="center"/>
            <w:hideMark/>
          </w:tcPr>
          <w:p w14:paraId="519EEF0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FABF8F"/>
            <w:noWrap/>
            <w:vAlign w:val="center"/>
            <w:hideMark/>
          </w:tcPr>
          <w:p w14:paraId="594568F0"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FABF8F"/>
            <w:noWrap/>
            <w:vAlign w:val="center"/>
            <w:hideMark/>
          </w:tcPr>
          <w:p w14:paraId="56D7A743"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FABF8F"/>
            <w:noWrap/>
            <w:vAlign w:val="center"/>
            <w:hideMark/>
          </w:tcPr>
          <w:p w14:paraId="2A389AA5"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1CEEF76D" w14:textId="77777777" w:rsidTr="00544A6F">
        <w:trPr>
          <w:trHeight w:val="600"/>
        </w:trPr>
        <w:tc>
          <w:tcPr>
            <w:tcW w:w="960" w:type="dxa"/>
            <w:tcBorders>
              <w:top w:val="nil"/>
              <w:left w:val="single" w:sz="4" w:space="0" w:color="auto"/>
              <w:bottom w:val="single" w:sz="4" w:space="0" w:color="auto"/>
              <w:right w:val="single" w:sz="4" w:space="0" w:color="auto"/>
            </w:tcBorders>
            <w:noWrap/>
            <w:vAlign w:val="center"/>
            <w:hideMark/>
          </w:tcPr>
          <w:p w14:paraId="5F593743" w14:textId="77777777" w:rsidR="00544A6F" w:rsidRPr="00544A6F" w:rsidRDefault="00544A6F" w:rsidP="00544A6F">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vAlign w:val="bottom"/>
            <w:hideMark/>
          </w:tcPr>
          <w:p w14:paraId="7CA9E68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Vat 17%</w:t>
            </w:r>
          </w:p>
        </w:tc>
        <w:tc>
          <w:tcPr>
            <w:tcW w:w="1171" w:type="dxa"/>
            <w:tcBorders>
              <w:top w:val="nil"/>
              <w:left w:val="nil"/>
              <w:bottom w:val="single" w:sz="4" w:space="0" w:color="auto"/>
              <w:right w:val="single" w:sz="4" w:space="0" w:color="auto"/>
            </w:tcBorders>
            <w:noWrap/>
            <w:vAlign w:val="center"/>
            <w:hideMark/>
          </w:tcPr>
          <w:p w14:paraId="1CFD6CB6"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noWrap/>
            <w:vAlign w:val="center"/>
            <w:hideMark/>
          </w:tcPr>
          <w:p w14:paraId="41404747"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noWrap/>
            <w:vAlign w:val="center"/>
            <w:hideMark/>
          </w:tcPr>
          <w:p w14:paraId="59FB3B5E"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1621776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544A6F" w:rsidRPr="00544A6F" w14:paraId="306E9BA2" w14:textId="77777777" w:rsidTr="00544A6F">
        <w:trPr>
          <w:trHeight w:val="6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14:paraId="1696C2E1"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auto" w:fill="92D050"/>
            <w:noWrap/>
            <w:vAlign w:val="bottom"/>
            <w:hideMark/>
          </w:tcPr>
          <w:p w14:paraId="30BEE0A5"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Total cost</w:t>
            </w:r>
          </w:p>
        </w:tc>
        <w:tc>
          <w:tcPr>
            <w:tcW w:w="1171" w:type="dxa"/>
            <w:tcBorders>
              <w:top w:val="nil"/>
              <w:left w:val="nil"/>
              <w:bottom w:val="single" w:sz="4" w:space="0" w:color="auto"/>
              <w:right w:val="single" w:sz="4" w:space="0" w:color="auto"/>
            </w:tcBorders>
            <w:shd w:val="clear" w:color="auto" w:fill="92D050"/>
            <w:noWrap/>
            <w:vAlign w:val="bottom"/>
            <w:hideMark/>
          </w:tcPr>
          <w:p w14:paraId="25BCE88B"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92D050"/>
            <w:noWrap/>
            <w:vAlign w:val="bottom"/>
            <w:hideMark/>
          </w:tcPr>
          <w:p w14:paraId="5B31E4BA"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92D050"/>
            <w:noWrap/>
            <w:vAlign w:val="bottom"/>
            <w:hideMark/>
          </w:tcPr>
          <w:p w14:paraId="2420914F" w14:textId="77777777" w:rsidR="00544A6F" w:rsidRPr="00544A6F" w:rsidRDefault="00544A6F" w:rsidP="00544A6F">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92D050"/>
            <w:noWrap/>
            <w:vAlign w:val="center"/>
            <w:hideMark/>
          </w:tcPr>
          <w:p w14:paraId="10734018" w14:textId="77777777" w:rsidR="00544A6F" w:rsidRPr="00544A6F" w:rsidRDefault="00544A6F" w:rsidP="00544A6F">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lastRenderedPageBreak/>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lastRenderedPageBreak/>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w:t>
      </w:r>
      <w:r w:rsidRPr="00532470">
        <w:rPr>
          <w:lang w:val="en-GB"/>
        </w:rPr>
        <w:lastRenderedPageBreak/>
        <w:t>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w:t>
      </w:r>
      <w:r w:rsidRPr="00532470">
        <w:rPr>
          <w:rFonts w:eastAsia="Times New Roman"/>
          <w:bCs/>
          <w:spacing w:val="-3"/>
          <w:lang w:val="en-GB"/>
        </w:rPr>
        <w:lastRenderedPageBreak/>
        <w:t>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lastRenderedPageBreak/>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4600" w14:textId="77777777" w:rsidR="004D549A" w:rsidRDefault="004D549A" w:rsidP="00365509">
      <w:pPr>
        <w:spacing w:after="0" w:line="240" w:lineRule="auto"/>
      </w:pPr>
      <w:r>
        <w:separator/>
      </w:r>
    </w:p>
  </w:endnote>
  <w:endnote w:type="continuationSeparator" w:id="0">
    <w:p w14:paraId="79D24389" w14:textId="77777777" w:rsidR="004D549A" w:rsidRDefault="004D549A"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F380" w14:textId="77777777" w:rsidR="004D549A" w:rsidRDefault="004D549A" w:rsidP="00365509">
      <w:pPr>
        <w:spacing w:after="0" w:line="240" w:lineRule="auto"/>
      </w:pPr>
      <w:r>
        <w:separator/>
      </w:r>
    </w:p>
  </w:footnote>
  <w:footnote w:type="continuationSeparator" w:id="0">
    <w:p w14:paraId="2DDD2071" w14:textId="77777777" w:rsidR="004D549A" w:rsidRDefault="004D549A"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5118</Words>
  <Characters>29178</Characters>
  <Application>Microsoft Office Word</Application>
  <DocSecurity>0</DocSecurity>
  <Lines>243</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1</cp:revision>
  <cp:lastPrinted>2020-10-18T11:39:00Z</cp:lastPrinted>
  <dcterms:created xsi:type="dcterms:W3CDTF">2022-01-26T12:51:00Z</dcterms:created>
  <dcterms:modified xsi:type="dcterms:W3CDTF">2025-01-13T20:06:00Z</dcterms:modified>
</cp:coreProperties>
</file>